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394358" w14:textId="77777777" w:rsidR="00197855" w:rsidRPr="00777F79" w:rsidRDefault="00197855" w:rsidP="00197855">
      <w:pPr>
        <w:spacing w:line="276" w:lineRule="auto"/>
        <w:jc w:val="both"/>
        <w:rPr>
          <w:rFonts w:asciiTheme="minorHAnsi" w:hAnsiTheme="minorHAnsi" w:cstheme="minorHAnsi"/>
          <w:b/>
          <w:bCs/>
          <w:lang w:val="en-GB"/>
        </w:rPr>
      </w:pPr>
      <w:bookmarkStart w:id="0" w:name="_GoBack"/>
      <w:r w:rsidRPr="00777F79">
        <w:rPr>
          <w:rFonts w:asciiTheme="minorHAnsi" w:hAnsiTheme="minorHAnsi" w:cstheme="minorHAnsi"/>
          <w:b/>
          <w:bCs/>
          <w:lang w:val="en-GB"/>
        </w:rPr>
        <w:t>Analysis of the impoverishing impact of out-of-pocket health spending</w:t>
      </w:r>
    </w:p>
    <w:bookmarkEnd w:id="0"/>
    <w:p w14:paraId="69D9357F" w14:textId="77777777" w:rsidR="00197855" w:rsidRPr="00777F79" w:rsidRDefault="00197855" w:rsidP="00197855">
      <w:pPr>
        <w:spacing w:line="276" w:lineRule="auto"/>
        <w:jc w:val="both"/>
        <w:rPr>
          <w:rFonts w:asciiTheme="minorHAnsi" w:hAnsiTheme="minorHAnsi" w:cstheme="minorHAnsi"/>
          <w:lang w:val="en-GB"/>
        </w:rPr>
      </w:pPr>
    </w:p>
    <w:p w14:paraId="4CE641A0" w14:textId="77777777" w:rsidR="00197855" w:rsidRPr="00777F79" w:rsidRDefault="00197855" w:rsidP="00197855">
      <w:pPr>
        <w:spacing w:line="480" w:lineRule="auto"/>
        <w:rPr>
          <w:rFonts w:asciiTheme="minorHAnsi" w:hAnsiTheme="minorHAnsi" w:cstheme="minorHAnsi"/>
          <w:lang w:val="en-GB"/>
        </w:rPr>
      </w:pPr>
      <w:r w:rsidRPr="00777F79">
        <w:rPr>
          <w:rFonts w:asciiTheme="minorHAnsi" w:hAnsiTheme="minorHAnsi" w:cstheme="minorHAnsi"/>
          <w:lang w:val="en-GB"/>
        </w:rPr>
        <w:t>Impoverishing impact of OOP health spending is estimated at the individual level by comparing poverty levels before (pre-payment) and after (post-payment) OOP health spending.  Three measures of poverty are estimated: poverty headcount ratio, poverty gap, and the normalised poverty gap.  These indices are estimated using both prepayment and post-payment per capita expenditure. Prepayment expenditure represents the household budget before paying OOP for health services</w:t>
      </w:r>
      <w:r>
        <w:rPr>
          <w:rFonts w:asciiTheme="minorHAnsi" w:hAnsiTheme="minorHAnsi" w:cstheme="minorHAnsi"/>
          <w:lang w:val="en-GB"/>
        </w:rPr>
        <w:t>,</w:t>
      </w:r>
      <w:r w:rsidRPr="00777F79">
        <w:rPr>
          <w:rFonts w:asciiTheme="minorHAnsi" w:hAnsiTheme="minorHAnsi" w:cstheme="minorHAnsi"/>
          <w:lang w:val="en-GB"/>
        </w:rPr>
        <w:t xml:space="preserve"> while post-payment expenditure is prepayment expenditure net of OOP health spending. </w:t>
      </w:r>
      <w:r>
        <w:rPr>
          <w:rFonts w:asciiTheme="minorHAnsi" w:hAnsiTheme="minorHAnsi" w:cstheme="minorHAnsi"/>
          <w:lang w:val="en-GB"/>
        </w:rPr>
        <w:t>The p</w:t>
      </w:r>
      <w:r w:rsidRPr="00777F79">
        <w:rPr>
          <w:rFonts w:asciiTheme="minorHAnsi" w:hAnsiTheme="minorHAnsi" w:cstheme="minorHAnsi"/>
          <w:lang w:val="en-GB"/>
        </w:rPr>
        <w:t xml:space="preserve">overty headcount index measures the proportion of individuals with per capita consumption expenditure (pre- or post-payment) below the poverty line </w:t>
      </w:r>
      <w:r w:rsidRPr="00204B61">
        <w:rPr>
          <w:rFonts w:asciiTheme="minorHAnsi" w:hAnsiTheme="minorHAnsi" w:cstheme="minorHAnsi"/>
          <w:lang w:val="en-GB"/>
        </w:rPr>
        <w:fldChar w:fldCharType="begin"/>
      </w:r>
      <w:r>
        <w:rPr>
          <w:rFonts w:asciiTheme="minorHAnsi" w:hAnsiTheme="minorHAnsi" w:cstheme="minorHAnsi"/>
          <w:lang w:val="en-GB"/>
        </w:rPr>
        <w:instrText xml:space="preserve"> ADDIN EN.CITE &lt;EndNote&gt;&lt;Cite&gt;&lt;Author&gt;Haughton&lt;/Author&gt;&lt;Year&gt;2009&lt;/Year&gt;&lt;RecNum&gt;122&lt;/RecNum&gt;&lt;DisplayText&gt;[23]&lt;/DisplayText&gt;&lt;record&gt;&lt;rec-number&gt;122&lt;/rec-number&gt;&lt;foreign-keys&gt;&lt;key app="EN" db-id="vw9wwsavbatrtle2rvj5fd9bssx529wwz9z5" timestamp="1570174314"&gt;122&lt;/key&gt;&lt;/foreign-keys&gt;&lt;ref-type name="Book"&gt;6&lt;/ref-type&gt;&lt;contributors&gt;&lt;authors&gt;&lt;author&gt;Jonathan Haughton&lt;/author&gt;&lt;author&gt;Shahidur R. Khandker&lt;/author&gt;&lt;/authors&gt;&lt;/contributors&gt;&lt;titles&gt;&lt;title&gt;Handbook on poverty and inequality &lt;/title&gt;&lt;/titles&gt;&lt;dates&gt;&lt;year&gt;2009&lt;/year&gt;&lt;/dates&gt;&lt;pub-location&gt;Washington, DC&lt;/pub-location&gt;&lt;publisher&gt;The International Bank for Reconstruction and Development/ The World Bank&lt;/publisher&gt;&lt;urls&gt;&lt;/urls&gt;&lt;/record&gt;&lt;/Cite&gt;&lt;/EndNote&gt;</w:instrText>
      </w:r>
      <w:r w:rsidRPr="00204B61">
        <w:rPr>
          <w:rFonts w:asciiTheme="minorHAnsi" w:hAnsiTheme="minorHAnsi" w:cstheme="minorHAnsi"/>
          <w:lang w:val="en-GB"/>
        </w:rPr>
        <w:fldChar w:fldCharType="separate"/>
      </w:r>
      <w:r>
        <w:rPr>
          <w:rFonts w:asciiTheme="minorHAnsi" w:hAnsiTheme="minorHAnsi" w:cstheme="minorHAnsi"/>
          <w:noProof/>
          <w:lang w:val="en-GB"/>
        </w:rPr>
        <w:t>[23]</w:t>
      </w:r>
      <w:r w:rsidRPr="00204B61">
        <w:rPr>
          <w:rFonts w:asciiTheme="minorHAnsi" w:hAnsiTheme="minorHAnsi" w:cstheme="minorHAnsi"/>
          <w:lang w:val="en-GB"/>
        </w:rPr>
        <w:fldChar w:fldCharType="end"/>
      </w:r>
      <w:r w:rsidRPr="00777F79">
        <w:rPr>
          <w:rFonts w:asciiTheme="minorHAnsi" w:hAnsiTheme="minorHAnsi" w:cstheme="minorHAnsi"/>
          <w:lang w:val="en-GB"/>
        </w:rPr>
        <w:t xml:space="preserve">. </w:t>
      </w:r>
    </w:p>
    <w:p w14:paraId="3870649A" w14:textId="77777777" w:rsidR="00197855" w:rsidRPr="00777F79" w:rsidRDefault="00197855" w:rsidP="00197855">
      <w:pPr>
        <w:spacing w:line="276" w:lineRule="auto"/>
        <w:rPr>
          <w:rFonts w:asciiTheme="minorHAnsi" w:hAnsiTheme="minorHAnsi" w:cstheme="minorHAnsi"/>
          <w:lang w:val="en-GB"/>
        </w:rPr>
      </w:pPr>
    </w:p>
    <w:p w14:paraId="4AD03ABE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777F79">
        <w:rPr>
          <w:rFonts w:asciiTheme="minorHAnsi" w:hAnsiTheme="minorHAnsi" w:cstheme="minorHAnsi"/>
          <w:color w:val="000000"/>
          <w:lang w:val="en-GB"/>
        </w:rPr>
        <w:t xml:space="preserve">As outlined elsewhere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&lt;EndNote&gt;&lt;Cite&gt;&lt;Author&gt;Wagstaff&lt;/Author&gt;&lt;Year&gt;2003&lt;/Year&gt;&lt;RecNum&gt;137&lt;/RecNum&gt;&lt;DisplayText&gt;[24]&lt;/DisplayText&gt;&lt;record&gt;&lt;rec-number&gt;137&lt;/rec-number&gt;&lt;foreign-keys&gt;&lt;key app="EN" db-id="wzvv0ra9sszadaewaexx0f92s2d0xtx995pa" timestamp="0"&gt;137&lt;/key&gt;&lt;/foreign-keys&gt;&lt;ref-type name="Journal Article"&gt;17&lt;/ref-type&gt;&lt;contributors&gt;&lt;authors&gt;&lt;author&gt;Wagstaff, A.&lt;/author&gt;&lt;author&gt;van Doorslaer, E.&lt;/author&gt;&lt;/authors&gt;&lt;/contributors&gt;&lt;titles&gt;&lt;title&gt;Catastrophe and impoverishment in paying for health care: with applications to Vietnam 1993-98&lt;/title&gt;&lt;secondary-title&gt;Health Economics&lt;/secondary-title&gt;&lt;/titles&gt;&lt;periodical&gt;&lt;full-title&gt;Health economics&lt;/full-title&gt;&lt;/periodical&gt;&lt;pages&gt;921-33&lt;/pages&gt;&lt;volume&gt;12&lt;/volume&gt;&lt;number&gt;11&lt;/number&gt;&lt;dates&gt;&lt;year&gt;2003&lt;/year&gt;&lt;/dates&gt;&lt;urls&gt;&lt;/urls&gt;&lt;/record&gt;&lt;/Cite&gt;&lt;/EndNote&gt;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[24]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777F79">
        <w:rPr>
          <w:rFonts w:asciiTheme="minorHAnsi" w:hAnsiTheme="minorHAnsi" w:cstheme="minorHAnsi"/>
          <w:color w:val="000000"/>
          <w:lang w:val="en-GB"/>
        </w:rPr>
        <w:t xml:space="preserve">, if 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P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is the prepayment poverty indicator, such that 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P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  <m:r>
          <w:rPr>
            <w:rFonts w:ascii="Cambria Math" w:hAnsi="Cambria Math" w:cstheme="minorHAnsi"/>
            <w:color w:val="000000"/>
            <w:lang w:val="en-GB"/>
          </w:rPr>
          <m:t>=1(</m:t>
        </m:r>
        <m:sSub>
          <m:sSub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y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</m:sSub>
        <m:r>
          <w:rPr>
            <w:rFonts w:ascii="Cambria Math" w:hAnsi="Cambria Math" w:cstheme="minorHAnsi"/>
            <w:color w:val="000000"/>
            <w:lang w:val="en-GB"/>
          </w:rPr>
          <m:t>&lt;PL)</m:t>
        </m:r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, it means that an individual </w:t>
      </w:r>
      <m:oMath>
        <m:r>
          <w:rPr>
            <w:rFonts w:ascii="Cambria Math" w:hAnsi="Cambria Math" w:cstheme="minorHAnsi"/>
            <w:color w:val="000000"/>
            <w:lang w:val="en-GB"/>
          </w:rPr>
          <m:t>i</m:t>
        </m:r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is poor if </w:t>
      </w:r>
      <m:oMath>
        <m:sSub>
          <m:sSub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y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</m:sSub>
        <m:r>
          <w:rPr>
            <w:rFonts w:ascii="Cambria Math" w:hAnsi="Cambria Math" w:cstheme="minorHAnsi"/>
            <w:color w:val="000000"/>
            <w:lang w:val="en-GB"/>
          </w:rPr>
          <m:t>&lt;PL</m:t>
        </m:r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. Here, </w:t>
      </w:r>
      <m:oMath>
        <m:sSub>
          <m:sSub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y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</m:sSub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is the individual’s per capita prepayment expenditure and </w:t>
      </w:r>
      <m:oMath>
        <m:r>
          <w:rPr>
            <w:rFonts w:ascii="Cambria Math" w:hAnsi="Cambria Math" w:cstheme="minorHAnsi"/>
            <w:color w:val="000000"/>
            <w:lang w:val="en-GB"/>
          </w:rPr>
          <m:t>PL</m:t>
        </m:r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is the poverty line.</w:t>
      </w:r>
    </w:p>
    <w:p w14:paraId="316A59D9" w14:textId="77777777" w:rsidR="00197855" w:rsidRPr="00204B61" w:rsidRDefault="00197855" w:rsidP="00197855">
      <w:pPr>
        <w:rPr>
          <w:rFonts w:asciiTheme="minorHAnsi" w:hAnsiTheme="minorHAnsi" w:cstheme="minorHAnsi"/>
          <w:color w:val="000000"/>
          <w:lang w:val="en-GB"/>
        </w:rPr>
      </w:pPr>
    </w:p>
    <w:p w14:paraId="5805B6F7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>The pre-payment poverty headcount ratio (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H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pov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</m:oMath>
      <w:r w:rsidRPr="00204B61">
        <w:rPr>
          <w:rFonts w:asciiTheme="minorHAnsi" w:hAnsiTheme="minorHAnsi" w:cstheme="minorHAnsi"/>
          <w:color w:val="000000"/>
          <w:lang w:val="en-GB"/>
        </w:rPr>
        <w:t>) is given as:</w:t>
      </w:r>
    </w:p>
    <w:p w14:paraId="6E491977" w14:textId="77777777" w:rsidR="00197855" w:rsidRPr="00204B61" w:rsidRDefault="00197855" w:rsidP="00197855">
      <w:pPr>
        <w:spacing w:line="276" w:lineRule="auto"/>
        <w:rPr>
          <w:rFonts w:asciiTheme="minorHAnsi" w:hAnsiTheme="minorHAnsi" w:cstheme="minorHAnsi"/>
          <w:color w:val="000000"/>
          <w:lang w:val="en-GB"/>
        </w:rPr>
      </w:pPr>
    </w:p>
    <w:p w14:paraId="0562CE1D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  <m:oMathPara>
        <m:oMath>
          <m:sSubSup>
            <m:sSubSup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SupPr>
            <m:e>
              <m:r>
                <w:rPr>
                  <w:rFonts w:ascii="Cambria Math" w:hAnsi="Cambria Math" w:cstheme="minorHAnsi"/>
                  <w:color w:val="000000"/>
                  <w:lang w:val="en-GB"/>
                </w:rPr>
                <m:t>H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pov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pre</m:t>
              </m:r>
            </m:sup>
          </m:sSubSup>
          <m:r>
            <w:rPr>
              <w:rFonts w:ascii="Cambria Math" w:hAnsi="Cambria Math" w:cstheme="minorHAnsi"/>
              <w:color w:val="000000"/>
              <w:lang w:val="en-GB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fPr>
            <m:num>
              <m:r>
                <w:rPr>
                  <w:rFonts w:ascii="Cambria Math" w:hAnsi="Cambria Math" w:cstheme="minorHAnsi"/>
                  <w:color w:val="000000"/>
                  <w:lang w:val="en-GB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color w:val="000000"/>
                  <w:lang w:val="en-GB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naryPr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i=1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N</m:t>
              </m:r>
            </m:sup>
            <m:e>
              <m:sSubSup>
                <m:sSubSupPr>
                  <m:ctrlPr>
                    <w:rPr>
                      <w:rFonts w:ascii="Cambria Math" w:hAnsi="Cambria Math" w:cstheme="minorHAnsi"/>
                      <w:i/>
                      <w:color w:val="000000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pre</m:t>
                  </m:r>
                </m:sup>
              </m:sSub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=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color w:val="000000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μ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color w:val="00000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color w:val="000000"/>
                          <w:lang w:val="en-GB"/>
                        </w:rPr>
                        <m:t>P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color w:val="000000"/>
                          <w:lang w:val="en-GB"/>
                        </w:rPr>
                        <m:t>pre</m:t>
                      </m:r>
                    </m:sup>
                  </m:sSup>
                </m:sub>
              </m:sSub>
            </m:e>
          </m:nary>
        </m:oMath>
      </m:oMathPara>
    </w:p>
    <w:p w14:paraId="3A89E6F5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576E163A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where </w:t>
      </w:r>
      <m:oMath>
        <m:r>
          <w:rPr>
            <w:rFonts w:ascii="Cambria Math" w:hAnsi="Cambria Math" w:cstheme="minorHAnsi"/>
            <w:color w:val="000000"/>
            <w:lang w:val="en-GB"/>
          </w:rPr>
          <m:t>N</m:t>
        </m:r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is to total sample size. Further, if we define 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g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i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as the deficit from the poverty line such that:</w:t>
      </w:r>
    </w:p>
    <w:p w14:paraId="35578504" w14:textId="77777777" w:rsidR="00197855" w:rsidRPr="00204B61" w:rsidRDefault="00197855" w:rsidP="00197855">
      <w:pPr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7996AB0A" w14:textId="77777777" w:rsidR="00197855" w:rsidRPr="00204B61" w:rsidRDefault="00197855" w:rsidP="00197855">
      <w:pPr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  <m:oMathPara>
        <m:oMathParaPr>
          <m:jc m:val="center"/>
        </m:oMathParaPr>
        <m:oMath>
          <m:sSubSup>
            <m:sSubSup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SupPr>
            <m:e>
              <m:r>
                <w:rPr>
                  <w:rFonts w:ascii="Cambria Math" w:hAnsi="Cambria Math" w:cstheme="minorHAnsi"/>
                  <w:color w:val="000000"/>
                  <w:lang w:val="en-GB"/>
                </w:rPr>
                <m:t>g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i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pre</m:t>
              </m:r>
            </m:sup>
          </m:sSubSup>
          <m:r>
            <w:rPr>
              <w:rFonts w:ascii="Cambria Math" w:hAnsi="Cambria Math" w:cstheme="minorHAnsi"/>
              <w:color w:val="000000"/>
              <w:lang w:val="en-GB"/>
            </w:rPr>
            <m:t>=</m:t>
          </m:r>
          <m:sSub>
            <m:sSub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Pr>
            <m:e>
              <m:sSubSup>
                <m:sSubSupPr>
                  <m:ctrlPr>
                    <w:rPr>
                      <w:rFonts w:ascii="Cambria Math" w:hAnsi="Cambria Math" w:cstheme="minorHAnsi"/>
                      <w:i/>
                      <w:color w:val="000000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P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pre</m:t>
                  </m:r>
                </m:sup>
              </m:sSub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(PL-y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i</m:t>
              </m:r>
            </m:sub>
          </m:sSub>
          <m:r>
            <w:rPr>
              <w:rFonts w:ascii="Cambria Math" w:hAnsi="Cambria Math" w:cstheme="minorHAnsi"/>
              <w:color w:val="000000"/>
              <w:lang w:val="en-GB"/>
            </w:rPr>
            <m:t>)</m:t>
          </m:r>
        </m:oMath>
      </m:oMathPara>
    </w:p>
    <w:p w14:paraId="242C8E81" w14:textId="77777777" w:rsidR="00197855" w:rsidRPr="00204B61" w:rsidRDefault="00197855" w:rsidP="00197855">
      <w:pPr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5C63A5AE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lastRenderedPageBreak/>
        <w:t>Then the prepayment poverty gap measure (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G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pov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</m:oMath>
      <w:r w:rsidRPr="00204B61">
        <w:rPr>
          <w:rFonts w:asciiTheme="minorHAnsi" w:hAnsiTheme="minorHAnsi" w:cstheme="minorHAnsi"/>
          <w:color w:val="000000"/>
          <w:lang w:val="en-GB"/>
        </w:rPr>
        <w:t>) that aggregates the deficit of household per capita expenditures from the poverty line is given as:</w:t>
      </w:r>
    </w:p>
    <w:p w14:paraId="75D7F49A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  <m:oMathPara>
        <m:oMath>
          <m:sSubSup>
            <m:sSubSup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SupPr>
            <m:e>
              <m:r>
                <w:rPr>
                  <w:rFonts w:ascii="Cambria Math" w:hAnsi="Cambria Math" w:cstheme="minorHAnsi"/>
                  <w:color w:val="000000"/>
                  <w:lang w:val="en-GB"/>
                </w:rPr>
                <m:t>G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pov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pre</m:t>
              </m:r>
            </m:sup>
          </m:sSubSup>
          <m:r>
            <w:rPr>
              <w:rFonts w:ascii="Cambria Math" w:hAnsi="Cambria Math" w:cstheme="minorHAnsi"/>
              <w:color w:val="000000"/>
              <w:lang w:val="en-GB"/>
            </w:rPr>
            <m:t>=</m:t>
          </m:r>
          <m:f>
            <m:f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fPr>
            <m:num>
              <m:r>
                <w:rPr>
                  <w:rFonts w:ascii="Cambria Math" w:hAnsi="Cambria Math" w:cstheme="minorHAnsi"/>
                  <w:color w:val="000000"/>
                  <w:lang w:val="en-GB"/>
                </w:rPr>
                <m:t>1</m:t>
              </m:r>
            </m:num>
            <m:den>
              <m:r>
                <w:rPr>
                  <w:rFonts w:ascii="Cambria Math" w:hAnsi="Cambria Math" w:cstheme="minorHAnsi"/>
                  <w:color w:val="000000"/>
                  <w:lang w:val="en-GB"/>
                </w:rPr>
                <m:t>N</m:t>
              </m:r>
            </m:den>
          </m:f>
          <m:nary>
            <m:naryPr>
              <m:chr m:val="∑"/>
              <m:limLoc m:val="undOvr"/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naryPr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i=1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N</m:t>
              </m:r>
            </m:sup>
            <m:e>
              <m:sSubSup>
                <m:sSubSupPr>
                  <m:ctrlPr>
                    <w:rPr>
                      <w:rFonts w:ascii="Cambria Math" w:hAnsi="Cambria Math" w:cstheme="minorHAnsi"/>
                      <w:i/>
                      <w:color w:val="000000"/>
                      <w:lang w:val="en-GB"/>
                    </w:rPr>
                  </m:ctrlPr>
                </m:sSubSupPr>
                <m:e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g</m:t>
                  </m:r>
                </m:e>
                <m:sub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i</m:t>
                  </m:r>
                </m:sub>
                <m:sup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pre</m:t>
                  </m:r>
                </m:sup>
              </m:sSub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=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  <w:color w:val="000000"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  <w:color w:val="000000"/>
                      <w:lang w:val="en-GB"/>
                    </w:rPr>
                    <m:t>μ</m:t>
                  </m:r>
                </m:e>
                <m:sub>
                  <m:sSup>
                    <m:sSupPr>
                      <m:ctrlPr>
                        <w:rPr>
                          <w:rFonts w:ascii="Cambria Math" w:hAnsi="Cambria Math" w:cstheme="minorHAnsi"/>
                          <w:i/>
                          <w:color w:val="00000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hAnsi="Cambria Math" w:cstheme="minorHAnsi"/>
                          <w:color w:val="000000"/>
                          <w:lang w:val="en-GB"/>
                        </w:rPr>
                        <m:t>g</m:t>
                      </m:r>
                    </m:e>
                    <m:sup>
                      <m:r>
                        <w:rPr>
                          <w:rFonts w:ascii="Cambria Math" w:hAnsi="Cambria Math" w:cstheme="minorHAnsi"/>
                          <w:color w:val="000000"/>
                          <w:lang w:val="en-GB"/>
                        </w:rPr>
                        <m:t>pre</m:t>
                      </m:r>
                    </m:sup>
                  </m:sSup>
                </m:sub>
              </m:sSub>
            </m:e>
          </m:nary>
        </m:oMath>
      </m:oMathPara>
    </w:p>
    <w:p w14:paraId="78CFA377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50BEFF3F" w14:textId="77777777" w:rsidR="00197855" w:rsidRPr="00204B61" w:rsidRDefault="00197855" w:rsidP="00197855">
      <w:pPr>
        <w:spacing w:line="480" w:lineRule="auto"/>
        <w:jc w:val="both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>The prepayment poverty gap normalised by the poverty line (</w:t>
      </w:r>
      <m:oMath>
        <m:sSubSup>
          <m:sSubSup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sSubSupPr>
          <m:e>
            <m:r>
              <w:rPr>
                <w:rFonts w:ascii="Cambria Math" w:hAnsi="Cambria Math" w:cstheme="minorHAnsi"/>
                <w:color w:val="000000"/>
                <w:lang w:val="en-GB"/>
              </w:rPr>
              <m:t>NG</m:t>
            </m:r>
          </m:e>
          <m:sub>
            <m:r>
              <w:rPr>
                <w:rFonts w:ascii="Cambria Math" w:hAnsi="Cambria Math" w:cstheme="minorHAnsi"/>
                <w:color w:val="000000"/>
                <w:lang w:val="en-GB"/>
              </w:rPr>
              <m:t>pov</m:t>
            </m:r>
          </m:sub>
          <m:sup>
            <m:r>
              <w:rPr>
                <w:rFonts w:ascii="Cambria Math" w:hAnsi="Cambria Math" w:cstheme="minorHAnsi"/>
                <w:color w:val="000000"/>
                <w:lang w:val="en-GB"/>
              </w:rPr>
              <m:t>pre</m:t>
            </m:r>
          </m:sup>
        </m:sSubSup>
      </m:oMath>
      <w:r w:rsidRPr="00204B61">
        <w:rPr>
          <w:rFonts w:asciiTheme="minorHAnsi" w:hAnsiTheme="minorHAnsi" w:cstheme="minorHAnsi"/>
          <w:color w:val="000000"/>
          <w:lang w:val="en-GB"/>
        </w:rPr>
        <w:t>) is given as:</w:t>
      </w:r>
    </w:p>
    <w:p w14:paraId="4A52E6D5" w14:textId="77777777" w:rsidR="00197855" w:rsidRPr="00204B61" w:rsidRDefault="00197855" w:rsidP="00197855">
      <w:pPr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696E5623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  <m:oMathPara>
        <m:oMath>
          <m:sSubSup>
            <m:sSubSup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SupPr>
            <m:e>
              <m:r>
                <w:rPr>
                  <w:rFonts w:ascii="Cambria Math" w:hAnsi="Cambria Math" w:cstheme="minorHAnsi"/>
                  <w:color w:val="000000"/>
                  <w:lang w:val="en-GB"/>
                </w:rPr>
                <m:t>NG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pov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pre</m:t>
              </m:r>
            </m:sup>
          </m:sSubSup>
          <m:r>
            <w:rPr>
              <w:rFonts w:ascii="Cambria Math" w:hAnsi="Cambria Math" w:cstheme="minorHAnsi"/>
              <w:color w:val="000000"/>
              <w:lang w:val="en-GB"/>
            </w:rPr>
            <m:t>=</m:t>
          </m:r>
          <m:sSubSup>
            <m:sSubSupPr>
              <m:ctrlPr>
                <w:rPr>
                  <w:rFonts w:ascii="Cambria Math" w:hAnsi="Cambria Math" w:cstheme="minorHAnsi"/>
                  <w:i/>
                  <w:color w:val="000000"/>
                  <w:lang w:val="en-GB"/>
                </w:rPr>
              </m:ctrlPr>
            </m:sSubSupPr>
            <m:e>
              <m:r>
                <w:rPr>
                  <w:rFonts w:ascii="Cambria Math" w:hAnsi="Cambria Math" w:cstheme="minorHAnsi"/>
                  <w:color w:val="000000"/>
                  <w:lang w:val="en-GB"/>
                </w:rPr>
                <m:t>G</m:t>
              </m:r>
            </m:e>
            <m:sub>
              <m:r>
                <w:rPr>
                  <w:rFonts w:ascii="Cambria Math" w:hAnsi="Cambria Math" w:cstheme="minorHAnsi"/>
                  <w:color w:val="000000"/>
                  <w:lang w:val="en-GB"/>
                </w:rPr>
                <m:t>pov</m:t>
              </m:r>
            </m:sub>
            <m:sup>
              <m:r>
                <w:rPr>
                  <w:rFonts w:ascii="Cambria Math" w:hAnsi="Cambria Math" w:cstheme="minorHAnsi"/>
                  <w:color w:val="000000"/>
                  <w:lang w:val="en-GB"/>
                </w:rPr>
                <m:t>pre</m:t>
              </m:r>
            </m:sup>
          </m:sSubSup>
          <m:r>
            <w:rPr>
              <w:rFonts w:ascii="Cambria Math" w:hAnsi="Cambria Math" w:cstheme="minorHAnsi"/>
              <w:color w:val="000000"/>
              <w:lang w:val="en-GB"/>
            </w:rPr>
            <m:t>/PL</m:t>
          </m:r>
        </m:oMath>
      </m:oMathPara>
    </w:p>
    <w:p w14:paraId="48EB77F9" w14:textId="77777777" w:rsidR="00197855" w:rsidRPr="00204B61" w:rsidRDefault="00197855" w:rsidP="00197855">
      <w:pPr>
        <w:pStyle w:val="ListParagraph"/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0C665D95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The normalised poverty gap is useful to compare poverty levels between countries with different currencies and poverty lines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&lt;EndNote&gt;&lt;Cite&gt;&lt;Author&gt;O’Donnell&lt;/Author&gt;&lt;Year&gt;2008&lt;/Year&gt;&lt;RecNum&gt;177&lt;/RecNum&gt;&lt;DisplayText&gt;[25]&lt;/DisplayText&gt;&lt;record&gt;&lt;rec-number&gt;177&lt;/rec-number&gt;&lt;foreign-keys&gt;&lt;key app="EN" db-id="wzvv0ra9sszadaewaexx0f92s2d0xtx995pa" timestamp="0"&gt;177&lt;/key&gt;&lt;/foreign-keys&gt;&lt;ref-type name="Book"&gt;6&lt;/ref-type&gt;&lt;contributors&gt;&lt;authors&gt;&lt;author&gt;O’Donnell, O.&lt;/author&gt;&lt;author&gt;Van Doorslaer, E.&lt;/author&gt;&lt;author&gt;Wagstaff, A.&lt;/author&gt;&lt;author&gt;Lindelow, M.&lt;/author&gt;&lt;/authors&gt;&lt;/contributors&gt;&lt;titles&gt;&lt;title&gt;Analyzing health equity using household survey data: a guide to techniques and their implementation&lt;/title&gt;&lt;/titles&gt;&lt;dates&gt;&lt;year&gt;2008&lt;/year&gt;&lt;/dates&gt;&lt;pub-location&gt;Washington DC.&lt;/pub-location&gt;&lt;publisher&gt;World Bank&lt;/publisher&gt;&lt;urls&gt;&lt;/urls&gt;&lt;/record&gt;&lt;/Cite&gt;&lt;/EndNote&gt;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[25]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204B61">
        <w:rPr>
          <w:rFonts w:asciiTheme="minorHAnsi" w:hAnsiTheme="minorHAnsi" w:cstheme="minorHAnsi"/>
          <w:color w:val="000000"/>
          <w:lang w:val="en-GB"/>
        </w:rPr>
        <w:t xml:space="preserve">. </w:t>
      </w:r>
    </w:p>
    <w:p w14:paraId="4E20D39A" w14:textId="77777777" w:rsidR="00197855" w:rsidRPr="00204B61" w:rsidRDefault="00197855" w:rsidP="00197855">
      <w:pPr>
        <w:spacing w:line="276" w:lineRule="auto"/>
        <w:rPr>
          <w:rFonts w:asciiTheme="minorHAnsi" w:hAnsiTheme="minorHAnsi" w:cstheme="minorHAnsi"/>
          <w:color w:val="000000"/>
          <w:lang w:val="en-GB"/>
        </w:rPr>
      </w:pPr>
    </w:p>
    <w:p w14:paraId="5C6296CE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The post-payment poverty indices </w:t>
      </w:r>
      <m:oMath>
        <m:d>
          <m:d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dPr>
          <m:e>
            <m:sSubSup>
              <m:sSubSupPr>
                <m:ctrlPr>
                  <w:rPr>
                    <w:rFonts w:ascii="Cambria Math" w:hAnsi="Cambria Math" w:cstheme="minorHAnsi"/>
                    <w:i/>
                    <w:color w:val="000000"/>
                    <w:lang w:val="en-GB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pov</m:t>
                </m:r>
              </m:sub>
              <m:sup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post</m:t>
                </m:r>
              </m:sup>
            </m:sSubSup>
            <m:r>
              <w:rPr>
                <w:rFonts w:ascii="Cambria Math" w:hAnsi="Cambria Math" w:cstheme="minorHAnsi"/>
                <w:color w:val="000000"/>
                <w:lang w:val="en-GB"/>
              </w:rPr>
              <m:t xml:space="preserve">, </m:t>
            </m:r>
            <m:sSubSup>
              <m:sSubSupPr>
                <m:ctrlPr>
                  <w:rPr>
                    <w:rFonts w:ascii="Cambria Math" w:hAnsi="Cambria Math" w:cstheme="minorHAnsi"/>
                    <w:i/>
                    <w:color w:val="000000"/>
                    <w:lang w:val="en-GB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G</m:t>
                </m:r>
              </m:e>
              <m:sub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pov</m:t>
                </m:r>
              </m:sub>
              <m:sup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post</m:t>
                </m:r>
              </m:sup>
            </m:sSubSup>
            <m:r>
              <w:rPr>
                <w:rFonts w:ascii="Cambria Math" w:hAnsi="Cambria Math" w:cstheme="minorHAnsi"/>
                <w:color w:val="000000"/>
                <w:lang w:val="en-GB"/>
              </w:rPr>
              <m:t xml:space="preserve">, </m:t>
            </m:r>
            <m:sSubSup>
              <m:sSubSupPr>
                <m:ctrlPr>
                  <w:rPr>
                    <w:rFonts w:ascii="Cambria Math" w:hAnsi="Cambria Math" w:cstheme="minorHAnsi"/>
                    <w:i/>
                    <w:color w:val="000000"/>
                    <w:lang w:val="en-GB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NG</m:t>
                </m:r>
              </m:e>
              <m:sub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pov</m:t>
                </m:r>
              </m:sub>
              <m:sup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post</m:t>
                </m:r>
              </m:sup>
            </m:sSubSup>
          </m:e>
        </m:d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 are obtained analogously by replacing the prepayment expenditure by post-payment expenditure. </w:t>
      </w:r>
    </w:p>
    <w:p w14:paraId="4D405133" w14:textId="77777777" w:rsidR="00197855" w:rsidRPr="00204B61" w:rsidRDefault="00197855" w:rsidP="00197855">
      <w:pPr>
        <w:spacing w:line="276" w:lineRule="auto"/>
        <w:rPr>
          <w:rFonts w:asciiTheme="minorHAnsi" w:hAnsiTheme="minorHAnsi" w:cstheme="minorHAnsi"/>
          <w:color w:val="000000"/>
          <w:lang w:val="en-GB"/>
        </w:rPr>
      </w:pPr>
    </w:p>
    <w:p w14:paraId="3777EEBD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The difference between the post-payment and prepayment poverty indices provides the poverty impact of OOP payments.  For example, the impact of OOP health expenditures on </w:t>
      </w:r>
      <w:r>
        <w:rPr>
          <w:rFonts w:asciiTheme="minorHAnsi" w:hAnsiTheme="minorHAnsi" w:cstheme="minorHAnsi"/>
          <w:color w:val="000000"/>
          <w:lang w:val="en-GB"/>
        </w:rPr>
        <w:t xml:space="preserve">the </w:t>
      </w:r>
      <w:r w:rsidRPr="00204B61">
        <w:rPr>
          <w:rFonts w:asciiTheme="minorHAnsi" w:hAnsiTheme="minorHAnsi" w:cstheme="minorHAnsi"/>
          <w:color w:val="000000"/>
          <w:lang w:val="en-GB"/>
        </w:rPr>
        <w:t xml:space="preserve">poverty headcount is </w:t>
      </w:r>
      <m:oMath>
        <m:d>
          <m:dPr>
            <m:ctrlPr>
              <w:rPr>
                <w:rFonts w:ascii="Cambria Math" w:hAnsi="Cambria Math" w:cstheme="minorHAnsi"/>
                <w:i/>
                <w:color w:val="000000"/>
                <w:lang w:val="en-GB"/>
              </w:rPr>
            </m:ctrlPr>
          </m:dPr>
          <m:e>
            <m:sSubSup>
              <m:sSubSupPr>
                <m:ctrlPr>
                  <w:rPr>
                    <w:rFonts w:ascii="Cambria Math" w:hAnsi="Cambria Math" w:cstheme="minorHAnsi"/>
                    <w:i/>
                    <w:color w:val="000000"/>
                    <w:lang w:val="en-GB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pov</m:t>
                </m:r>
              </m:sub>
              <m:sup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post</m:t>
                </m:r>
              </m:sup>
            </m:sSubSup>
            <m:r>
              <w:rPr>
                <w:rFonts w:ascii="Cambria Math" w:hAnsi="Cambria Math" w:cstheme="minorHAnsi"/>
                <w:color w:val="000000"/>
                <w:lang w:val="en-GB"/>
              </w:rPr>
              <m:t>-</m:t>
            </m:r>
            <m:sSubSup>
              <m:sSubSupPr>
                <m:ctrlPr>
                  <w:rPr>
                    <w:rFonts w:ascii="Cambria Math" w:hAnsi="Cambria Math" w:cstheme="minorHAnsi"/>
                    <w:i/>
                    <w:color w:val="000000"/>
                    <w:lang w:val="en-GB"/>
                  </w:rPr>
                </m:ctrlPr>
              </m:sSubSupPr>
              <m:e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H</m:t>
                </m:r>
              </m:e>
              <m:sub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pov</m:t>
                </m:r>
              </m:sub>
              <m:sup>
                <m:r>
                  <w:rPr>
                    <w:rFonts w:ascii="Cambria Math" w:hAnsi="Cambria Math" w:cstheme="minorHAnsi"/>
                    <w:color w:val="000000"/>
                    <w:lang w:val="en-GB"/>
                  </w:rPr>
                  <m:t>pre</m:t>
                </m:r>
              </m:sup>
            </m:sSubSup>
          </m:e>
        </m:d>
      </m:oMath>
      <w:r w:rsidRPr="00204B61">
        <w:rPr>
          <w:rFonts w:asciiTheme="minorHAnsi" w:hAnsiTheme="minorHAnsi" w:cstheme="minorHAnsi"/>
          <w:color w:val="000000"/>
          <w:lang w:val="en-GB"/>
        </w:rPr>
        <w:t xml:space="preserve">.   Two poverty lines were used in this paper—the US$1.90/day international poverty line at the 2011 purchasing power parity (PPP)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&lt;EndNote&gt;&lt;Cite&gt;&lt;Author&gt;Ferreira&lt;/Author&gt;&lt;Year&gt;2015&lt;/Year&gt;&lt;RecNum&gt;120&lt;/RecNum&gt;&lt;DisplayText&gt;[26]&lt;/DisplayText&gt;&lt;record&gt;&lt;rec-number&gt;120&lt;/rec-number&gt;&lt;foreign-keys&gt;&lt;key app="EN" db-id="vw9wwsavbatrtle2rvj5fd9bssx529wwz9z5" timestamp="1570174314"&gt;120&lt;/key&gt;&lt;/foreign-keys&gt;&lt;ref-type name="Report"&gt;27&lt;/ref-type&gt;&lt;contributors&gt;&lt;authors&gt;&lt;author&gt;Francisco H. G. Ferreira&lt;/author&gt;&lt;author&gt;Shaohua Chen&lt;/author&gt;&lt;author&gt;Andrew Dabalen&lt;/author&gt;&lt;author&gt;Yuri Dikhanov&lt;/author&gt;&lt;author&gt;Nada Hamadeh&lt;/author&gt;&lt;author&gt;Dean Jolliffe&lt;/author&gt;&lt;author&gt;Ambar Narayan&lt;/author&gt;&lt;author&gt;Espen Beer Prydz&lt;/author&gt;&lt;author&gt;Ana Revenga&lt;/author&gt;&lt;author&gt;Prem Sangraula&lt;/author&gt;&lt;author&gt;Umar Serajuddin&lt;/author&gt;&lt;author&gt;Nobuo Yoshida&lt;/author&gt;&lt;/authors&gt;&lt;/contributors&gt;&lt;titles&gt;&lt;title&gt;A global count of the extreme poor in 2012: data issues, methodology and initial results&lt;/title&gt;&lt;secondary-title&gt;IZA Discussion Paper No. 9442&lt;/secondary-title&gt;&lt;/titles&gt;&lt;dates&gt;&lt;year&gt;2015&lt;/year&gt;&lt;/dates&gt;&lt;pub-location&gt;Germany&lt;/pub-location&gt;&lt;publisher&gt;Institute for the Study of Labour&lt;/publisher&gt;&lt;urls&gt;&lt;/urls&gt;&lt;/record&gt;&lt;/Cite&gt;&lt;/EndNote&gt;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[26]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204B61">
        <w:rPr>
          <w:rFonts w:asciiTheme="minorHAnsi" w:hAnsiTheme="minorHAnsi" w:cstheme="minorHAnsi"/>
          <w:color w:val="000000"/>
          <w:lang w:val="en-GB"/>
        </w:rPr>
        <w:t xml:space="preserve"> and the national poverty line (Birr 3,781 per person per year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&lt;EndNote&gt;&lt;Cite&gt;&lt;Author&gt;World Bank&lt;/Author&gt;&lt;Year&gt;2015&lt;/Year&gt;&lt;RecNum&gt;121&lt;/RecNum&gt;&lt;DisplayText&gt;[27]&lt;/DisplayText&gt;&lt;record&gt;&lt;rec-number&gt;121&lt;/rec-number&gt;&lt;foreign-keys&gt;&lt;key app="EN" db-id="vw9wwsavbatrtle2rvj5fd9bssx529wwz9z5" timestamp="1570174314"&gt;121&lt;/key&gt;&lt;/foreign-keys&gt;&lt;ref-type name="Report"&gt;27&lt;/ref-type&gt;&lt;contributors&gt;&lt;authors&gt;&lt;author&gt;World Bank,&lt;/author&gt;&lt;/authors&gt;&lt;/contributors&gt;&lt;titles&gt;&lt;title&gt;Ethiopia: Poverty Assessment &lt;/title&gt;&lt;/titles&gt;&lt;dates&gt;&lt;year&gt;2015&lt;/year&gt;&lt;/dates&gt;&lt;publisher&gt;World Bank Group&lt;/publisher&gt;&lt;urls&gt;&lt;/urls&gt;&lt;/record&gt;&lt;/Cite&gt;&lt;/EndNote&gt;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[27]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204B61">
        <w:rPr>
          <w:rFonts w:asciiTheme="minorHAnsi" w:hAnsiTheme="minorHAnsi" w:cstheme="minorHAnsi"/>
          <w:color w:val="000000"/>
          <w:lang w:val="en-GB"/>
        </w:rPr>
        <w:t>); which is equivalent to US$2.10/day in 2011 prices.</w:t>
      </w:r>
    </w:p>
    <w:p w14:paraId="0F0EA101" w14:textId="77777777" w:rsidR="00197855" w:rsidRPr="00204B61" w:rsidRDefault="00197855" w:rsidP="00197855">
      <w:pPr>
        <w:spacing w:line="276" w:lineRule="auto"/>
        <w:jc w:val="both"/>
        <w:rPr>
          <w:rFonts w:asciiTheme="minorHAnsi" w:hAnsiTheme="minorHAnsi" w:cstheme="minorHAnsi"/>
          <w:color w:val="000000"/>
          <w:lang w:val="en-GB"/>
        </w:rPr>
      </w:pPr>
    </w:p>
    <w:p w14:paraId="3F435CC2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The </w:t>
      </w:r>
      <w:proofErr w:type="spellStart"/>
      <w:r w:rsidRPr="00204B61">
        <w:rPr>
          <w:rFonts w:asciiTheme="minorHAnsi" w:hAnsiTheme="minorHAnsi" w:cstheme="minorHAnsi"/>
          <w:color w:val="000000"/>
          <w:lang w:val="en-GB"/>
        </w:rPr>
        <w:t>probit</w:t>
      </w:r>
      <w:proofErr w:type="spellEnd"/>
      <w:r w:rsidRPr="00204B61">
        <w:rPr>
          <w:rFonts w:asciiTheme="minorHAnsi" w:hAnsiTheme="minorHAnsi" w:cstheme="minorHAnsi"/>
          <w:color w:val="000000"/>
          <w:lang w:val="en-GB"/>
        </w:rPr>
        <w:t xml:space="preserve"> regression was used to assess the factors associated with impoverishment headcount based on the national poverty line. The dependent variable in the </w:t>
      </w:r>
      <w:proofErr w:type="spellStart"/>
      <w:r w:rsidRPr="00204B61">
        <w:rPr>
          <w:rFonts w:asciiTheme="minorHAnsi" w:hAnsiTheme="minorHAnsi" w:cstheme="minorHAnsi"/>
          <w:color w:val="000000"/>
          <w:lang w:val="en-GB"/>
        </w:rPr>
        <w:t>probit</w:t>
      </w:r>
      <w:proofErr w:type="spellEnd"/>
      <w:r w:rsidRPr="00204B61">
        <w:rPr>
          <w:rFonts w:asciiTheme="minorHAnsi" w:hAnsiTheme="minorHAnsi" w:cstheme="minorHAnsi"/>
          <w:color w:val="000000"/>
          <w:lang w:val="en-GB"/>
        </w:rPr>
        <w:t xml:space="preserve"> regression is a binary indicator that takes on the value of one for impoverishment from OOP health </w:t>
      </w:r>
      <w:r w:rsidRPr="00204B61">
        <w:rPr>
          <w:rFonts w:asciiTheme="minorHAnsi" w:hAnsiTheme="minorHAnsi" w:cstheme="minorHAnsi"/>
          <w:color w:val="000000"/>
          <w:lang w:val="en-GB"/>
        </w:rPr>
        <w:lastRenderedPageBreak/>
        <w:t xml:space="preserve">spending and zero, otherwise.  The explanatory variables in the model included household-level factors selected based on literature and availability in the dataset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&lt;EndNote&gt;&lt;Cite&gt;&lt;Author&gt;Li&lt;/Author&gt;&lt;Year&gt;2012&lt;/Year&gt;&lt;RecNum&gt;123&lt;/RecNum&gt;&lt;DisplayText&gt;[28]&lt;/DisplayText&gt;&lt;record&gt;&lt;rec-number&gt;123&lt;/rec-number&gt;&lt;foreign-keys&gt;&lt;key app="EN" db-id="vw9wwsavbatrtle2rvj5fd9bssx529wwz9z5" timestamp="1570174314"&gt;123&lt;/key&gt;&lt;/foreign-keys&gt;&lt;ref-type name="Journal Article"&gt;17&lt;/ref-type&gt;&lt;contributors&gt;&lt;authors&gt;&lt;author&gt;Li, Y&lt;/author&gt;&lt;author&gt;Wu, Q&lt;/author&gt;&lt;author&gt;Xu, L&lt;/author&gt;&lt;author&gt;Legge, D &lt;/author&gt;&lt;author&gt;Hao, Y&lt;/author&gt;&lt;author&gt;Gao, L&lt;/author&gt;&lt;author&gt;Ning, N&lt;/author&gt;&lt;author&gt;Wan, G&lt;/author&gt;&lt;/authors&gt;&lt;/contributors&gt;&lt;titles&gt;&lt;title&gt;Factors affecting catastrophic health expenditure and impoverishment from medical expenses in China: policy implications of universal health insurance&lt;/title&gt;&lt;secondary-title&gt;Bulletin of the World Health Organization&lt;/secondary-title&gt;&lt;/titles&gt;&lt;periodical&gt;&lt;full-title&gt;Bulletin of the World Health Organization&lt;/full-title&gt;&lt;/periodical&gt;&lt;pages&gt;664-71&lt;/pages&gt;&lt;volume&gt;90&lt;/volume&gt;&lt;number&gt;6&lt;/number&gt;&lt;dates&gt;&lt;year&gt;2012&lt;/year&gt;&lt;/dates&gt;&lt;urls&gt;&lt;/urls&gt;&lt;/record&gt;&lt;/Cite&gt;&lt;/EndNote&gt;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[28]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204B61">
        <w:rPr>
          <w:rFonts w:asciiTheme="minorHAnsi" w:hAnsiTheme="minorHAnsi" w:cstheme="minorHAnsi"/>
          <w:color w:val="000000"/>
          <w:lang w:val="en-GB"/>
        </w:rPr>
        <w:t>. Factors related to household head are age, gender,</w:t>
      </w:r>
      <w:r w:rsidRPr="00204B61">
        <w:rPr>
          <w:rFonts w:asciiTheme="minorHAnsi" w:hAnsiTheme="minorHAnsi" w:cstheme="minorHAnsi"/>
          <w:lang w:val="en-GB"/>
        </w:rPr>
        <w:t xml:space="preserve"> education, marital status, and </w:t>
      </w:r>
      <w:r w:rsidRPr="00204B61">
        <w:rPr>
          <w:rFonts w:asciiTheme="minorHAnsi" w:hAnsiTheme="minorHAnsi" w:cstheme="minorHAnsi"/>
          <w:color w:val="000000"/>
          <w:lang w:val="en-GB"/>
        </w:rPr>
        <w:t>whether the household head engaged in any productive work</w:t>
      </w:r>
      <w:r w:rsidRPr="00204B61">
        <w:rPr>
          <w:rFonts w:asciiTheme="minorHAnsi" w:hAnsiTheme="minorHAnsi" w:cstheme="minorHAnsi"/>
          <w:lang w:val="en-GB"/>
        </w:rPr>
        <w:t>. Other household-level covariates include household size, availability of under-five children, availability of adults aged at least 65 years, and the ecology of residential area</w:t>
      </w:r>
      <w:r>
        <w:rPr>
          <w:rFonts w:asciiTheme="minorHAnsi" w:hAnsiTheme="minorHAnsi" w:cstheme="minorHAnsi"/>
          <w:lang w:val="en-GB"/>
        </w:rPr>
        <w:t>s</w:t>
      </w:r>
      <w:r w:rsidRPr="00204B61">
        <w:rPr>
          <w:rFonts w:asciiTheme="minorHAnsi" w:hAnsiTheme="minorHAnsi" w:cstheme="minorHAnsi"/>
          <w:lang w:val="en-GB"/>
        </w:rPr>
        <w:t xml:space="preserve"> (highland, moderate, lowland, urban).</w:t>
      </w:r>
      <w:r w:rsidRPr="00204B61">
        <w:rPr>
          <w:rFonts w:asciiTheme="minorHAnsi" w:hAnsiTheme="minorHAnsi" w:cstheme="minorHAnsi"/>
          <w:color w:val="000000"/>
          <w:lang w:val="en-GB"/>
        </w:rPr>
        <w:t xml:space="preserve"> </w:t>
      </w:r>
    </w:p>
    <w:p w14:paraId="164A5D90" w14:textId="77777777" w:rsidR="00197855" w:rsidRPr="00204B61" w:rsidRDefault="00197855" w:rsidP="00197855">
      <w:pPr>
        <w:spacing w:line="276" w:lineRule="auto"/>
        <w:rPr>
          <w:rFonts w:asciiTheme="minorHAnsi" w:hAnsiTheme="minorHAnsi" w:cstheme="minorHAnsi"/>
          <w:color w:val="000000"/>
          <w:lang w:val="en-GB"/>
        </w:rPr>
      </w:pPr>
    </w:p>
    <w:p w14:paraId="3DF4240C" w14:textId="77777777" w:rsidR="00197855" w:rsidRPr="00204B61" w:rsidRDefault="00197855" w:rsidP="00197855">
      <w:pPr>
        <w:spacing w:line="480" w:lineRule="auto"/>
        <w:rPr>
          <w:rFonts w:asciiTheme="minorHAnsi" w:hAnsiTheme="minorHAnsi" w:cstheme="minorHAnsi"/>
          <w:color w:val="000000"/>
          <w:lang w:val="en-GB"/>
        </w:rPr>
      </w:pPr>
      <w:r w:rsidRPr="00204B61">
        <w:rPr>
          <w:rFonts w:asciiTheme="minorHAnsi" w:hAnsiTheme="minorHAnsi" w:cstheme="minorHAnsi"/>
          <w:color w:val="000000"/>
          <w:lang w:val="en-GB"/>
        </w:rPr>
        <w:t xml:space="preserve">The “Pen’s parade of dwarfs and a few giants” was used to depict the impoverishing effect of OOP health spending 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begin"/>
      </w:r>
      <w:r>
        <w:rPr>
          <w:rFonts w:asciiTheme="minorHAnsi" w:hAnsiTheme="minorHAnsi" w:cstheme="minorHAnsi"/>
          <w:color w:val="000000"/>
          <w:lang w:val="en-GB"/>
        </w:rPr>
        <w:instrText xml:space="preserve"> ADDIN EN.CITE &lt;EndNote&gt;&lt;Cite&gt;&lt;Author&gt;O’Donnell&lt;/Author&gt;&lt;Year&gt;2008&lt;/Year&gt;&lt;RecNum&gt;177&lt;/RecNum&gt;&lt;DisplayText&gt;[25]&lt;/DisplayText&gt;&lt;record&gt;&lt;rec-number&gt;177&lt;/rec-number&gt;&lt;foreign-keys&gt;&lt;key app="EN" db-id="wzvv0ra9sszadaewaexx0f92s2d0xtx995pa" timestamp="0"&gt;177&lt;/key&gt;&lt;/foreign-keys&gt;&lt;ref-type name="Book"&gt;6&lt;/ref-type&gt;&lt;contributors&gt;&lt;authors&gt;&lt;author&gt;O’Donnell, O.&lt;/author&gt;&lt;author&gt;Van Doorslaer, E.&lt;/author&gt;&lt;author&gt;Wagstaff, A.&lt;/author&gt;&lt;author&gt;Lindelow, M.&lt;/author&gt;&lt;/authors&gt;&lt;/contributors&gt;&lt;titles&gt;&lt;title&gt;Analyzing health equity using household survey data: a guide to techniques and their implementation&lt;/title&gt;&lt;/titles&gt;&lt;dates&gt;&lt;year&gt;2008&lt;/year&gt;&lt;/dates&gt;&lt;pub-location&gt;Washington DC.&lt;/pub-location&gt;&lt;publisher&gt;World Bank&lt;/publisher&gt;&lt;urls&gt;&lt;/urls&gt;&lt;/record&gt;&lt;/Cite&gt;&lt;/EndNote&gt;</w:instrTex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separate"/>
      </w:r>
      <w:r>
        <w:rPr>
          <w:rFonts w:asciiTheme="minorHAnsi" w:hAnsiTheme="minorHAnsi" w:cstheme="minorHAnsi"/>
          <w:noProof/>
          <w:color w:val="000000"/>
          <w:lang w:val="en-GB"/>
        </w:rPr>
        <w:t>[25]</w:t>
      </w:r>
      <w:r w:rsidRPr="00204B61">
        <w:rPr>
          <w:rFonts w:asciiTheme="minorHAnsi" w:hAnsiTheme="minorHAnsi" w:cstheme="minorHAnsi"/>
          <w:color w:val="000000"/>
          <w:lang w:val="en-GB"/>
        </w:rPr>
        <w:fldChar w:fldCharType="end"/>
      </w:r>
      <w:r w:rsidRPr="00204B61">
        <w:rPr>
          <w:rFonts w:asciiTheme="minorHAnsi" w:hAnsiTheme="minorHAnsi" w:cstheme="minorHAnsi"/>
          <w:color w:val="000000"/>
          <w:lang w:val="en-GB"/>
        </w:rPr>
        <w:t xml:space="preserve">.  Here, prepayment consumption expenditure is graphed against post-payment consumption expenditure, with individuals ordered according to prepayment consumption expenditure.  </w:t>
      </w:r>
      <w:r w:rsidRPr="00204B61">
        <w:rPr>
          <w:rFonts w:asciiTheme="minorHAnsi" w:hAnsiTheme="minorHAnsi" w:cstheme="minorHAnsi"/>
          <w:lang w:val="en-GB"/>
        </w:rPr>
        <w:t xml:space="preserve">Stata 15 </w:t>
      </w:r>
      <w:r w:rsidRPr="00204B61">
        <w:rPr>
          <w:rFonts w:asciiTheme="minorHAnsi" w:hAnsiTheme="minorHAnsi" w:cstheme="minorHAnsi"/>
          <w:lang w:val="en-GB"/>
        </w:rPr>
        <w:fldChar w:fldCharType="begin"/>
      </w:r>
      <w:r>
        <w:rPr>
          <w:rFonts w:asciiTheme="minorHAnsi" w:hAnsiTheme="minorHAnsi" w:cstheme="minorHAnsi"/>
          <w:lang w:val="en-GB"/>
        </w:rPr>
        <w:instrText xml:space="preserve"> ADDIN EN.CITE &lt;EndNote&gt;&lt;Cite&gt;&lt;Author&gt;StataCorp&lt;/Author&gt;&lt;Year&gt;2017&lt;/Year&gt;&lt;RecNum&gt;2030&lt;/RecNum&gt;&lt;DisplayText&gt;[29]&lt;/DisplayText&gt;&lt;record&gt;&lt;rec-number&gt;2030&lt;/rec-number&gt;&lt;foreign-keys&gt;&lt;key app="EN" db-id="wzvv0ra9sszadaewaexx0f92s2d0xtx995pa" timestamp="1549309051"&gt;2030&lt;/key&gt;&lt;/foreign-keys&gt;&lt;ref-type name="Book"&gt;6&lt;/ref-type&gt;&lt;contributors&gt;&lt;authors&gt;&lt;author&gt;StataCorp,&lt;/author&gt;&lt;/authors&gt;&lt;/contributors&gt;&lt;titles&gt;&lt;title&gt;Stata: release 15 - Statistical software&lt;/title&gt;&lt;/titles&gt;&lt;dates&gt;&lt;year&gt;2017&lt;/year&gt;&lt;/dates&gt;&lt;pub-location&gt;College Station, Texas&lt;/pub-location&gt;&lt;publisher&gt;StataCorp LP&lt;/publisher&gt;&lt;urls&gt;&lt;/urls&gt;&lt;/record&gt;&lt;/Cite&gt;&lt;/EndNote&gt;</w:instrText>
      </w:r>
      <w:r w:rsidRPr="00204B61">
        <w:rPr>
          <w:rFonts w:asciiTheme="minorHAnsi" w:hAnsiTheme="minorHAnsi" w:cstheme="minorHAnsi"/>
          <w:lang w:val="en-GB"/>
        </w:rPr>
        <w:fldChar w:fldCharType="separate"/>
      </w:r>
      <w:r>
        <w:rPr>
          <w:rFonts w:asciiTheme="minorHAnsi" w:hAnsiTheme="minorHAnsi" w:cstheme="minorHAnsi"/>
          <w:noProof/>
          <w:lang w:val="en-GB"/>
        </w:rPr>
        <w:t>[29]</w:t>
      </w:r>
      <w:r w:rsidRPr="00204B61">
        <w:rPr>
          <w:rFonts w:asciiTheme="minorHAnsi" w:hAnsiTheme="minorHAnsi" w:cstheme="minorHAnsi"/>
          <w:lang w:val="en-GB"/>
        </w:rPr>
        <w:fldChar w:fldCharType="end"/>
      </w:r>
      <w:r>
        <w:rPr>
          <w:rFonts w:asciiTheme="minorHAnsi" w:hAnsiTheme="minorHAnsi" w:cstheme="minorHAnsi"/>
          <w:lang w:val="en-GB"/>
        </w:rPr>
        <w:t xml:space="preserve"> was used to analyse the data</w:t>
      </w:r>
      <w:r w:rsidRPr="00204B61">
        <w:rPr>
          <w:rFonts w:asciiTheme="minorHAnsi" w:hAnsiTheme="minorHAnsi" w:cstheme="minorHAnsi"/>
          <w:lang w:val="en-GB"/>
        </w:rPr>
        <w:t xml:space="preserve">. </w:t>
      </w:r>
    </w:p>
    <w:p w14:paraId="5E2A82A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855"/>
    <w:rsid w:val="0019785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7923D"/>
  <w15:chartTrackingRefBased/>
  <w15:docId w15:val="{08691BE4-0E16-404F-ABE5-F885459E7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7855"/>
    <w:pPr>
      <w:spacing w:after="0" w:line="240" w:lineRule="auto"/>
    </w:pPr>
    <w:rPr>
      <w:rFonts w:ascii="Calibri" w:eastAsia="DengXian" w:hAnsi="Calibri" w:cs="Arial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7855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1499</Words>
  <Characters>8550</Characters>
  <Application>Microsoft Office Word</Application>
  <DocSecurity>0</DocSecurity>
  <Lines>71</Lines>
  <Paragraphs>20</Paragraphs>
  <ScaleCrop>false</ScaleCrop>
  <Company/>
  <LinksUpToDate>false</LinksUpToDate>
  <CharactersWithSpaces>10029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2020-03-09T19:33:00Z</dcterms:created>
  <dcterms:modified xsi:type="dcterms:W3CDTF">2020-03-09T19:34:00Z</dcterms:modified>
</cp:coreProperties>
</file>